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CC" w:rsidRPr="004462DF" w:rsidRDefault="00D403CC" w:rsidP="00D403C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="OfficinaSanItcTCE-Book"/>
          <w:b/>
          <w:color w:val="231F20"/>
          <w:sz w:val="22"/>
          <w:szCs w:val="22"/>
          <w:lang w:eastAsia="en-US"/>
        </w:rPr>
      </w:pPr>
      <w:r w:rsidRPr="004462DF">
        <w:rPr>
          <w:rFonts w:asciiTheme="minorHAnsi" w:eastAsia="Calibri" w:hAnsiTheme="minorHAnsi" w:cs="OfficinaSanItcTCE-Book"/>
          <w:b/>
          <w:color w:val="231F20"/>
          <w:sz w:val="22"/>
          <w:szCs w:val="22"/>
          <w:u w:val="single"/>
          <w:lang w:eastAsia="en-US"/>
        </w:rPr>
        <w:t>Kritérium 1.</w:t>
      </w:r>
      <w:r w:rsidRPr="004462DF">
        <w:rPr>
          <w:rFonts w:asciiTheme="minorHAnsi" w:eastAsia="Calibri" w:hAnsiTheme="minorHAnsi" w:cs="OfficinaSanItcTCE-Book"/>
          <w:b/>
          <w:color w:val="231F20"/>
          <w:sz w:val="22"/>
          <w:szCs w:val="22"/>
          <w:lang w:eastAsia="en-US"/>
        </w:rPr>
        <w:t xml:space="preserve"> </w:t>
      </w:r>
    </w:p>
    <w:p w:rsidR="00D403CC" w:rsidRPr="004462DF" w:rsidRDefault="00D403CC" w:rsidP="00D403CC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rPr>
          <w:rFonts w:asciiTheme="minorHAnsi" w:eastAsia="Calibri" w:hAnsiTheme="minorHAnsi" w:cs="OfficinaSanItcTCE-Book"/>
          <w:b/>
          <w:color w:val="231F20"/>
          <w:sz w:val="22"/>
          <w:szCs w:val="22"/>
          <w:lang w:eastAsia="en-US"/>
        </w:rPr>
      </w:pPr>
      <w:r w:rsidRPr="004462DF">
        <w:rPr>
          <w:rFonts w:asciiTheme="minorHAnsi" w:eastAsia="Calibri" w:hAnsiTheme="minorHAnsi" w:cs="OfficinaSanItcTCE-Book"/>
          <w:b/>
          <w:color w:val="231F20"/>
          <w:sz w:val="22"/>
          <w:szCs w:val="22"/>
          <w:lang w:eastAsia="en-US"/>
        </w:rPr>
        <w:t>Témata globálního rozvojového vzdělávání jsou součástí života školy</w:t>
      </w:r>
    </w:p>
    <w:p w:rsidR="00D403CC" w:rsidRPr="004462DF" w:rsidRDefault="00D403CC" w:rsidP="00D403C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="OfficinaSanItcTCE-Book"/>
          <w:b/>
          <w:color w:val="231F20"/>
          <w:sz w:val="22"/>
          <w:szCs w:val="22"/>
          <w:u w:val="single"/>
          <w:lang w:eastAsia="en-US"/>
        </w:rPr>
      </w:pPr>
      <w:r w:rsidRPr="004462DF">
        <w:rPr>
          <w:rFonts w:asciiTheme="minorHAnsi" w:eastAsia="Calibri" w:hAnsiTheme="minorHAnsi" w:cs="OfficinaSanItcTCE-Book"/>
          <w:b/>
          <w:color w:val="231F20"/>
          <w:sz w:val="22"/>
          <w:szCs w:val="22"/>
          <w:u w:val="single"/>
          <w:lang w:eastAsia="en-US"/>
        </w:rPr>
        <w:t>Indikátor</w:t>
      </w:r>
    </w:p>
    <w:p w:rsidR="00D403CC" w:rsidRPr="004462DF" w:rsidRDefault="00D403CC" w:rsidP="00D403C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rPr>
          <w:rFonts w:asciiTheme="minorHAnsi" w:eastAsia="Calibri" w:hAnsiTheme="minorHAnsi" w:cs="OfficinaSanItcTCE-Book"/>
          <w:b/>
          <w:color w:val="231F20"/>
          <w:sz w:val="22"/>
          <w:szCs w:val="22"/>
          <w:lang w:eastAsia="en-US"/>
        </w:rPr>
      </w:pPr>
      <w:r w:rsidRPr="004462DF">
        <w:rPr>
          <w:rFonts w:asciiTheme="minorHAnsi" w:eastAsia="Calibri" w:hAnsiTheme="minorHAnsi" w:cs="OfficinaSanItcTCE-Book"/>
          <w:b/>
          <w:color w:val="231F20"/>
          <w:sz w:val="22"/>
          <w:szCs w:val="22"/>
          <w:lang w:eastAsia="en-US"/>
        </w:rPr>
        <w:t>Zpráva o začlenění GRV cílů a témat do ŠVP včetně seznamu aktivit na daný školní rok.</w:t>
      </w:r>
    </w:p>
    <w:p w:rsidR="00CC1EC0" w:rsidRPr="004462DF" w:rsidRDefault="00D403CC" w:rsidP="004462DF">
      <w:pPr>
        <w:autoSpaceDE w:val="0"/>
        <w:autoSpaceDN w:val="0"/>
        <w:adjustRightInd w:val="0"/>
        <w:spacing w:before="120" w:after="240"/>
        <w:rPr>
          <w:rFonts w:asciiTheme="minorHAnsi" w:hAnsiTheme="minorHAnsi" w:cs="OfficinaSanItcTCE-Book"/>
          <w:b/>
          <w:color w:val="231F20"/>
          <w:sz w:val="22"/>
          <w:szCs w:val="22"/>
        </w:rPr>
      </w:pPr>
      <w:r w:rsidRPr="004462DF">
        <w:rPr>
          <w:rFonts w:asciiTheme="minorHAnsi" w:eastAsia="Calibri" w:hAnsiTheme="minorHAnsi" w:cs="OfficinaSanItcTCE-Book"/>
          <w:b/>
          <w:color w:val="231F20"/>
          <w:sz w:val="22"/>
          <w:szCs w:val="22"/>
          <w:lang w:eastAsia="en-US"/>
        </w:rPr>
        <w:t xml:space="preserve">Termín odevzdání: </w:t>
      </w:r>
      <w:r w:rsidR="008E6C84">
        <w:rPr>
          <w:rFonts w:asciiTheme="minorHAnsi" w:hAnsiTheme="minorHAnsi" w:cs="OfficinaSanItcTCE-Book"/>
          <w:b/>
          <w:color w:val="231F20"/>
          <w:sz w:val="22"/>
          <w:szCs w:val="22"/>
        </w:rPr>
        <w:t>30. 11. 2020</w:t>
      </w:r>
      <w:bookmarkStart w:id="0" w:name="_GoBack"/>
      <w:bookmarkEnd w:id="0"/>
    </w:p>
    <w:p w:rsidR="00CA0A9F" w:rsidRDefault="00D403CC" w:rsidP="00CA0A9F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sz w:val="22"/>
          <w:szCs w:val="22"/>
        </w:rPr>
      </w:pPr>
      <w:r w:rsidRPr="004462DF">
        <w:rPr>
          <w:rFonts w:asciiTheme="minorHAnsi" w:hAnsiTheme="minorHAnsi"/>
          <w:sz w:val="22"/>
          <w:szCs w:val="22"/>
        </w:rPr>
        <w:t>Jestliže má být škola označena za školu, kde jsou globální témata přirozenou součástí života školy, je důležité pohlédnout na školu z tohoto pohledu a vypíchnout ty aktivity a příklady běžné v praxi, které toto dokazují.</w:t>
      </w:r>
    </w:p>
    <w:p w:rsidR="00D403CC" w:rsidRPr="004462DF" w:rsidRDefault="00D403CC" w:rsidP="00CA0A9F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sz w:val="22"/>
          <w:szCs w:val="22"/>
        </w:rPr>
      </w:pPr>
      <w:r w:rsidRPr="004462DF">
        <w:rPr>
          <w:rFonts w:asciiTheme="minorHAnsi" w:hAnsiTheme="minorHAnsi"/>
          <w:sz w:val="22"/>
          <w:szCs w:val="22"/>
        </w:rPr>
        <w:t>V rámcových vzdělávacích programech jsou definována průřezová témata, která jsou vnímána jako aktuální a zároveň reflektují cíle, témata a principy GRV. Globální rozvojové vzdělávání se tématy a využívanými metodami částečně překrývá s globální výchovou, interkulturním vzděláváním, environmentální výchovou, výchovou k lidským právům, výchovou k občanství a dalšími oblastmi vzdělávání. Uvedené vzdělávací oblasti přispívají k plnění cílů GRV a různou měrou usilují o:</w:t>
      </w:r>
    </w:p>
    <w:p w:rsidR="00D403CC" w:rsidRPr="004462DF" w:rsidRDefault="00D403CC" w:rsidP="004462DF">
      <w:pPr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462DF">
        <w:rPr>
          <w:rFonts w:asciiTheme="minorHAnsi" w:hAnsiTheme="minorHAnsi"/>
          <w:b/>
          <w:bCs/>
          <w:sz w:val="22"/>
          <w:szCs w:val="22"/>
        </w:rPr>
        <w:t>výchovu k hodnotám</w:t>
      </w:r>
      <w:r w:rsidRPr="004462DF">
        <w:rPr>
          <w:rFonts w:asciiTheme="minorHAnsi" w:hAnsiTheme="minorHAnsi"/>
          <w:sz w:val="22"/>
          <w:szCs w:val="22"/>
        </w:rPr>
        <w:t xml:space="preserve"> – respekt k sobě samému a k druhým, smysl pro společenskou zodpovědnost, smysl pro sounáležitost a aktivní přístup k učení sebe sama a druhých;</w:t>
      </w:r>
    </w:p>
    <w:p w:rsidR="00D403CC" w:rsidRPr="004462DF" w:rsidRDefault="00D403CC" w:rsidP="004462DF">
      <w:pPr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462DF">
        <w:rPr>
          <w:rFonts w:asciiTheme="minorHAnsi" w:hAnsiTheme="minorHAnsi"/>
          <w:b/>
          <w:bCs/>
          <w:sz w:val="22"/>
          <w:szCs w:val="22"/>
        </w:rPr>
        <w:t>rozvoj myšlenek a znalostí</w:t>
      </w:r>
      <w:r w:rsidRPr="004462DF">
        <w:rPr>
          <w:rFonts w:asciiTheme="minorHAnsi" w:hAnsiTheme="minorHAnsi"/>
          <w:sz w:val="22"/>
          <w:szCs w:val="22"/>
        </w:rPr>
        <w:t xml:space="preserve"> týkajících se technologických změn, nerovností v životních podmínkách obyvatel světa, demokracie, vlády a občanství atd.;</w:t>
      </w:r>
    </w:p>
    <w:p w:rsidR="00D403CC" w:rsidRPr="004462DF" w:rsidRDefault="00D403CC" w:rsidP="004462DF">
      <w:pPr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462DF">
        <w:rPr>
          <w:rFonts w:asciiTheme="minorHAnsi" w:hAnsiTheme="minorHAnsi"/>
          <w:b/>
          <w:bCs/>
          <w:sz w:val="22"/>
          <w:szCs w:val="22"/>
        </w:rPr>
        <w:t>rozvoj klíčových schopností a znalostí</w:t>
      </w:r>
      <w:r w:rsidRPr="004462DF">
        <w:rPr>
          <w:rFonts w:asciiTheme="minorHAnsi" w:hAnsiTheme="minorHAnsi"/>
          <w:sz w:val="22"/>
          <w:szCs w:val="22"/>
        </w:rPr>
        <w:t xml:space="preserve"> – komunikační, sociální, občanské, pracovní, kompetence k řešení problémů a kompetence učit se;</w:t>
      </w:r>
    </w:p>
    <w:p w:rsidR="00D403CC" w:rsidRPr="004462DF" w:rsidRDefault="00D403CC" w:rsidP="004462DF">
      <w:pPr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462DF">
        <w:rPr>
          <w:rFonts w:asciiTheme="minorHAnsi" w:hAnsiTheme="minorHAnsi"/>
          <w:b/>
          <w:bCs/>
          <w:sz w:val="22"/>
          <w:szCs w:val="22"/>
        </w:rPr>
        <w:t>zajištění tvůrčích příležitostí a aktivity v průběhu vzdělávacího procesu</w:t>
      </w:r>
      <w:r w:rsidRPr="004462DF">
        <w:rPr>
          <w:rFonts w:asciiTheme="minorHAnsi" w:hAnsiTheme="minorHAnsi"/>
          <w:sz w:val="22"/>
          <w:szCs w:val="22"/>
        </w:rPr>
        <w:t xml:space="preserve"> – individuální a společné práce, sdílení odpovědnosti za výsledky učení, spoluúčast na vzdělávacím procesu.</w:t>
      </w:r>
    </w:p>
    <w:p w:rsidR="00D403CC" w:rsidRPr="004462DF" w:rsidRDefault="00D403CC" w:rsidP="004462DF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4462DF">
        <w:rPr>
          <w:rFonts w:asciiTheme="minorHAnsi" w:hAnsiTheme="minorHAnsi"/>
          <w:sz w:val="22"/>
          <w:szCs w:val="22"/>
        </w:rPr>
        <w:t>Tato témata mají především ovlivňovat postoje, hodnotový systém a jednání žáků a procházejí tak jako důležitý formativní prvek celým vzděláváním.</w:t>
      </w:r>
    </w:p>
    <w:p w:rsidR="00D403CC" w:rsidRPr="004462DF" w:rsidRDefault="00D403CC" w:rsidP="004462DF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4462DF">
        <w:rPr>
          <w:rFonts w:asciiTheme="minorHAnsi" w:hAnsiTheme="minorHAnsi"/>
          <w:sz w:val="22"/>
          <w:szCs w:val="22"/>
        </w:rPr>
        <w:t xml:space="preserve"> Promítají se nejen svým výchovným zaměřením, ale i obsahem do vzdělávacích oblastí (oborů) a pomáhají doplňovat či propojovat, co si žáci během studia osvojili. Z hlediska formálního dokumentu RVP rozvíjí aktivně Světová škola klíčové kompetence a průřezová témata.</w:t>
      </w:r>
    </w:p>
    <w:p w:rsidR="00D403CC" w:rsidRPr="004462DF" w:rsidRDefault="00D403CC" w:rsidP="004462DF">
      <w:pPr>
        <w:spacing w:before="120" w:after="120"/>
        <w:jc w:val="both"/>
        <w:outlineLvl w:val="3"/>
        <w:rPr>
          <w:rFonts w:asciiTheme="minorHAnsi" w:hAnsiTheme="minorHAnsi"/>
          <w:b/>
          <w:bCs/>
          <w:sz w:val="22"/>
          <w:szCs w:val="22"/>
        </w:rPr>
      </w:pPr>
      <w:r w:rsidRPr="004462DF">
        <w:rPr>
          <w:rFonts w:asciiTheme="minorHAnsi" w:hAnsiTheme="minorHAnsi"/>
          <w:b/>
          <w:bCs/>
          <w:sz w:val="22"/>
          <w:szCs w:val="22"/>
        </w:rPr>
        <w:t xml:space="preserve">Cílem této zprávy je zamyslet se nad činností vaší školy s ohledem na témata a cíle GRV, která ve škole reálně probíhají, a definovat kroky, které by mohly jejich začlenění podpořit. Smyslem není vybírat obecné definice z ŠVP, ale pracovat s reálným děním a navrhovat praktické kroky. Zkuste být co nejkonkrétnější </w:t>
      </w:r>
      <w:r w:rsidRPr="004462DF">
        <w:rPr>
          <w:rFonts w:asciiTheme="minorHAnsi" w:hAnsiTheme="minorHAnsi"/>
          <w:b/>
          <w:bCs/>
          <w:sz w:val="22"/>
          <w:szCs w:val="22"/>
        </w:rPr>
        <w:sym w:font="Wingdings" w:char="F04A"/>
      </w:r>
      <w:r w:rsidRPr="004462DF">
        <w:rPr>
          <w:rFonts w:asciiTheme="minorHAnsi" w:hAnsiTheme="minorHAnsi"/>
          <w:b/>
          <w:bCs/>
          <w:sz w:val="22"/>
          <w:szCs w:val="22"/>
        </w:rPr>
        <w:t xml:space="preserve"> .</w:t>
      </w:r>
    </w:p>
    <w:p w:rsidR="00D403CC" w:rsidRPr="004462DF" w:rsidRDefault="00D403CC" w:rsidP="004462DF">
      <w:pPr>
        <w:numPr>
          <w:ilvl w:val="0"/>
          <w:numId w:val="9"/>
        </w:numPr>
        <w:spacing w:before="120" w:after="120" w:line="276" w:lineRule="auto"/>
        <w:jc w:val="both"/>
        <w:outlineLvl w:val="3"/>
        <w:rPr>
          <w:rFonts w:asciiTheme="minorHAnsi" w:hAnsiTheme="minorHAnsi"/>
          <w:bCs/>
          <w:sz w:val="22"/>
          <w:szCs w:val="22"/>
        </w:rPr>
      </w:pPr>
      <w:r w:rsidRPr="004462DF">
        <w:rPr>
          <w:rFonts w:asciiTheme="minorHAnsi" w:hAnsiTheme="minorHAnsi"/>
          <w:bCs/>
          <w:sz w:val="22"/>
          <w:szCs w:val="22"/>
        </w:rPr>
        <w:t xml:space="preserve">Zamyslete se nad činností vaší školy a popište, jaké konkrétní </w:t>
      </w:r>
      <w:r w:rsidRPr="004462DF">
        <w:rPr>
          <w:rFonts w:asciiTheme="minorHAnsi" w:hAnsiTheme="minorHAnsi"/>
          <w:b/>
          <w:bCs/>
          <w:sz w:val="22"/>
          <w:szCs w:val="22"/>
        </w:rPr>
        <w:t>aktivity a celoškolní akce</w:t>
      </w:r>
      <w:r w:rsidRPr="004462DF">
        <w:rPr>
          <w:rFonts w:asciiTheme="minorHAnsi" w:hAnsiTheme="minorHAnsi"/>
          <w:bCs/>
          <w:sz w:val="22"/>
          <w:szCs w:val="22"/>
        </w:rPr>
        <w:t xml:space="preserve"> běžně realizované ve vaší škole naplňují cíle a témata GRV bez ohledu na prostředky nebo formu. (viz Doporučené očekávané výstupy - </w:t>
      </w:r>
      <w:proofErr w:type="spellStart"/>
      <w:r w:rsidRPr="004462DF">
        <w:rPr>
          <w:rFonts w:asciiTheme="minorHAnsi" w:hAnsiTheme="minorHAnsi"/>
          <w:bCs/>
          <w:sz w:val="22"/>
          <w:szCs w:val="22"/>
        </w:rPr>
        <w:t>DOVy</w:t>
      </w:r>
      <w:proofErr w:type="spellEnd"/>
      <w:r w:rsidRPr="004462DF">
        <w:rPr>
          <w:rFonts w:asciiTheme="minorHAnsi" w:hAnsiTheme="minorHAnsi"/>
          <w:bCs/>
          <w:sz w:val="22"/>
          <w:szCs w:val="22"/>
        </w:rPr>
        <w:t xml:space="preserve">) </w:t>
      </w:r>
      <w:r w:rsidRPr="004462DF">
        <w:rPr>
          <w:rFonts w:asciiTheme="minorHAnsi" w:hAnsiTheme="minorHAnsi"/>
          <w:bCs/>
          <w:i/>
          <w:sz w:val="22"/>
          <w:szCs w:val="22"/>
        </w:rPr>
        <w:t>(1 normostrana)</w:t>
      </w:r>
    </w:p>
    <w:p w:rsidR="00D403CC" w:rsidRPr="004462DF" w:rsidRDefault="00D403CC" w:rsidP="004462DF">
      <w:pPr>
        <w:numPr>
          <w:ilvl w:val="0"/>
          <w:numId w:val="9"/>
        </w:numPr>
        <w:spacing w:before="120" w:after="120" w:line="276" w:lineRule="auto"/>
        <w:jc w:val="both"/>
        <w:outlineLvl w:val="3"/>
        <w:rPr>
          <w:rFonts w:asciiTheme="minorHAnsi" w:hAnsiTheme="minorHAnsi"/>
          <w:bCs/>
          <w:sz w:val="22"/>
          <w:szCs w:val="22"/>
        </w:rPr>
      </w:pPr>
      <w:r w:rsidRPr="004462DF">
        <w:rPr>
          <w:rFonts w:asciiTheme="minorHAnsi" w:hAnsiTheme="minorHAnsi"/>
          <w:bCs/>
          <w:sz w:val="22"/>
          <w:szCs w:val="22"/>
        </w:rPr>
        <w:lastRenderedPageBreak/>
        <w:t xml:space="preserve">Ke zprávě přiložte </w:t>
      </w:r>
      <w:r w:rsidRPr="004462DF">
        <w:rPr>
          <w:rFonts w:asciiTheme="minorHAnsi" w:hAnsiTheme="minorHAnsi"/>
          <w:b/>
          <w:bCs/>
          <w:sz w:val="22"/>
          <w:szCs w:val="22"/>
        </w:rPr>
        <w:t>časový plán</w:t>
      </w:r>
      <w:r w:rsidRPr="004462DF">
        <w:rPr>
          <w:rFonts w:asciiTheme="minorHAnsi" w:hAnsiTheme="minorHAnsi"/>
          <w:bCs/>
          <w:sz w:val="22"/>
          <w:szCs w:val="22"/>
        </w:rPr>
        <w:t xml:space="preserve"> dle jednotlivých měsíců ve školním roce, kde výše zmíněné akce a aktivity pojmenujete a definujete jejich </w:t>
      </w:r>
      <w:r w:rsidRPr="004462DF">
        <w:rPr>
          <w:rFonts w:asciiTheme="minorHAnsi" w:hAnsiTheme="minorHAnsi"/>
          <w:b/>
          <w:bCs/>
          <w:sz w:val="22"/>
          <w:szCs w:val="22"/>
        </w:rPr>
        <w:t>cíle</w:t>
      </w:r>
      <w:r w:rsidRPr="004462DF">
        <w:rPr>
          <w:rFonts w:asciiTheme="minorHAnsi" w:hAnsiTheme="minorHAnsi"/>
          <w:bCs/>
          <w:sz w:val="22"/>
          <w:szCs w:val="22"/>
        </w:rPr>
        <w:t xml:space="preserve">. </w:t>
      </w:r>
      <w:r w:rsidRPr="004462DF">
        <w:rPr>
          <w:rFonts w:asciiTheme="minorHAnsi" w:hAnsiTheme="minorHAnsi"/>
          <w:bCs/>
          <w:i/>
          <w:sz w:val="22"/>
          <w:szCs w:val="22"/>
        </w:rPr>
        <w:t>(zvolte si formu, jaká vám vyhovuje)</w:t>
      </w:r>
    </w:p>
    <w:p w:rsidR="00B653F0" w:rsidRPr="00DA5436" w:rsidRDefault="00DA5436" w:rsidP="00DA5436">
      <w:pPr>
        <w:numPr>
          <w:ilvl w:val="0"/>
          <w:numId w:val="9"/>
        </w:numPr>
        <w:spacing w:before="120" w:after="120" w:line="276" w:lineRule="auto"/>
        <w:jc w:val="both"/>
        <w:outlineLvl w:val="3"/>
        <w:rPr>
          <w:rFonts w:asciiTheme="minorHAnsi" w:hAnsiTheme="minorHAnsi"/>
          <w:sz w:val="22"/>
          <w:szCs w:val="22"/>
        </w:rPr>
      </w:pPr>
      <w:bookmarkStart w:id="1" w:name="OLE_LINK2"/>
      <w:r>
        <w:rPr>
          <w:rFonts w:asciiTheme="minorHAnsi" w:hAnsiTheme="minorHAnsi"/>
          <w:bCs/>
          <w:sz w:val="22"/>
          <w:szCs w:val="22"/>
        </w:rPr>
        <w:t>Co byste se v rámci projektu/projektové výuky chtěli naučit</w:t>
      </w:r>
      <w:r w:rsidR="00D403CC" w:rsidRPr="004462DF">
        <w:rPr>
          <w:rFonts w:asciiTheme="minorHAnsi" w:hAnsiTheme="minorHAnsi"/>
          <w:bCs/>
          <w:sz w:val="22"/>
          <w:szCs w:val="22"/>
        </w:rPr>
        <w:t xml:space="preserve">? </w:t>
      </w:r>
      <w:bookmarkEnd w:id="1"/>
      <w:r>
        <w:rPr>
          <w:rFonts w:asciiTheme="minorHAnsi" w:hAnsiTheme="minorHAnsi"/>
          <w:bCs/>
          <w:sz w:val="22"/>
          <w:szCs w:val="22"/>
        </w:rPr>
        <w:t>V čem byste se chtěli posunout?</w:t>
      </w:r>
      <w:r>
        <w:rPr>
          <w:rFonts w:asciiTheme="minorHAnsi" w:hAnsiTheme="minorHAnsi"/>
          <w:sz w:val="22"/>
          <w:szCs w:val="22"/>
        </w:rPr>
        <w:t xml:space="preserve">  </w:t>
      </w:r>
      <w:r w:rsidRPr="00DA5436">
        <w:rPr>
          <w:rFonts w:asciiTheme="minorHAnsi" w:hAnsiTheme="minorHAnsi"/>
          <w:bCs/>
          <w:sz w:val="22"/>
          <w:szCs w:val="22"/>
        </w:rPr>
        <w:t xml:space="preserve"> </w:t>
      </w:r>
    </w:p>
    <w:sectPr w:rsidR="00B653F0" w:rsidRPr="00DA5436" w:rsidSect="008136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F8" w:rsidRDefault="001F09F8" w:rsidP="00C741CB">
      <w:r>
        <w:separator/>
      </w:r>
    </w:p>
  </w:endnote>
  <w:endnote w:type="continuationSeparator" w:id="0">
    <w:p w:rsidR="001F09F8" w:rsidRDefault="001F09F8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797008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6A67E6" wp14:editId="4420B8A6">
          <wp:simplePos x="0" y="0"/>
          <wp:positionH relativeFrom="column">
            <wp:posOffset>-4445</wp:posOffset>
          </wp:positionH>
          <wp:positionV relativeFrom="paragraph">
            <wp:posOffset>-304165</wp:posOffset>
          </wp:positionV>
          <wp:extent cx="5760720" cy="9207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A31DE0">
      <w:rPr>
        <w:noProof/>
      </w:rPr>
      <w:t xml:space="preserve">  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F8" w:rsidRDefault="001F09F8" w:rsidP="00C741CB">
      <w:r>
        <w:separator/>
      </w:r>
    </w:p>
  </w:footnote>
  <w:footnote w:type="continuationSeparator" w:id="0">
    <w:p w:rsidR="001F09F8" w:rsidRDefault="001F09F8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C741CB">
    <w:pPr>
      <w:pStyle w:val="Zhlav"/>
    </w:pPr>
  </w:p>
  <w:p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627C"/>
    <w:multiLevelType w:val="hybridMultilevel"/>
    <w:tmpl w:val="D9A07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B139E7"/>
    <w:multiLevelType w:val="multilevel"/>
    <w:tmpl w:val="FDDE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2CCE"/>
    <w:multiLevelType w:val="hybridMultilevel"/>
    <w:tmpl w:val="7FBCD246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B5768"/>
    <w:multiLevelType w:val="hybridMultilevel"/>
    <w:tmpl w:val="D2DE1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B"/>
    <w:rsid w:val="000229C0"/>
    <w:rsid w:val="000B2122"/>
    <w:rsid w:val="001F09F8"/>
    <w:rsid w:val="001F13EA"/>
    <w:rsid w:val="00227D17"/>
    <w:rsid w:val="002333A4"/>
    <w:rsid w:val="002B7664"/>
    <w:rsid w:val="003B6ADA"/>
    <w:rsid w:val="004462DF"/>
    <w:rsid w:val="006C3623"/>
    <w:rsid w:val="0075316F"/>
    <w:rsid w:val="0075417B"/>
    <w:rsid w:val="00797008"/>
    <w:rsid w:val="008136D3"/>
    <w:rsid w:val="008E6C84"/>
    <w:rsid w:val="00935DC2"/>
    <w:rsid w:val="009879B6"/>
    <w:rsid w:val="00A31DE0"/>
    <w:rsid w:val="00A74B70"/>
    <w:rsid w:val="00A8540C"/>
    <w:rsid w:val="00AC6943"/>
    <w:rsid w:val="00B31D60"/>
    <w:rsid w:val="00B653F0"/>
    <w:rsid w:val="00C741CB"/>
    <w:rsid w:val="00CA0A9F"/>
    <w:rsid w:val="00CC1EC0"/>
    <w:rsid w:val="00D403CC"/>
    <w:rsid w:val="00D94C9A"/>
    <w:rsid w:val="00DA5436"/>
    <w:rsid w:val="00DF2BAB"/>
    <w:rsid w:val="00E059A3"/>
    <w:rsid w:val="00E7281D"/>
    <w:rsid w:val="00F7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C3CBAF"/>
  <w15:docId w15:val="{1EAF97CA-8A35-40DA-B884-5C1737F7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23CF-FBF8-4EB9-B0B3-FC473BB7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Sobotková Kateřina</cp:lastModifiedBy>
  <cp:revision>6</cp:revision>
  <dcterms:created xsi:type="dcterms:W3CDTF">2019-07-31T12:37:00Z</dcterms:created>
  <dcterms:modified xsi:type="dcterms:W3CDTF">2020-08-03T14:55:00Z</dcterms:modified>
</cp:coreProperties>
</file>